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60" w:lineRule="exac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附件2</w:t>
      </w:r>
      <w:r>
        <w:rPr>
          <w:rFonts w:hint="eastAsia" w:ascii="方正黑体_GBK" w:hAnsi="仿宋" w:eastAsia="方正黑体_GBK"/>
          <w:sz w:val="32"/>
          <w:szCs w:val="32"/>
        </w:rPr>
        <w:tab/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年泰州市科技支撑计划（农业）非企立项项目表</w:t>
      </w:r>
      <w:bookmarkEnd w:id="0"/>
    </w:p>
    <w:p>
      <w:pPr>
        <w:widowControl/>
        <w:jc w:val="right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单位：万元</w:t>
      </w:r>
    </w:p>
    <w:tbl>
      <w:tblPr>
        <w:tblStyle w:val="4"/>
        <w:tblW w:w="51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960"/>
        <w:gridCol w:w="3105"/>
        <w:gridCol w:w="3225"/>
        <w:gridCol w:w="890"/>
        <w:gridCol w:w="817"/>
        <w:gridCol w:w="779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拨款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总额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本次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拨款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验收合格拨付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TN202218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新型中药免疫增强剂的研制及其在畜禽养殖中的应用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0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杨海峰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TN202219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适用于岛田作业的手扶式香葱收获关键技术与装备研发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09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王国强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TN202220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冻结畜禽肉多频超声绿色低损高效解冻研究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0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吴平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4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TN202221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农作物秸秆废弃物高值转化制备2-苯乙醇关键技术的研究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10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朱年青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TN202222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粘附性稻瘟灵纳米缓释剂的构建及应用关键技术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10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王弯弯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TN202223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河蟹、青虾双主养提质增效技术研究与集成示范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江苏省农业科学院泰州农科所</w:t>
            </w:r>
          </w:p>
        </w:tc>
        <w:tc>
          <w:tcPr>
            <w:tcW w:w="10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3"/>
              </w:tabs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江苏省农业科学院泰州农科所</w:t>
            </w: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杨智景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TN202224</w:t>
            </w:r>
          </w:p>
        </w:tc>
        <w:tc>
          <w:tcPr>
            <w:tcW w:w="1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“一稻三虾一苗”高效种养关键技术研究与示范</w:t>
            </w:r>
          </w:p>
        </w:tc>
        <w:tc>
          <w:tcPr>
            <w:tcW w:w="10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江苏省农业科学院泰州农科所</w:t>
            </w:r>
          </w:p>
        </w:tc>
        <w:tc>
          <w:tcPr>
            <w:tcW w:w="10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  <w:t>杨大柳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420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  <w:t>95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  <w:t>76</w:t>
            </w:r>
          </w:p>
        </w:tc>
        <w:tc>
          <w:tcPr>
            <w:tcW w:w="2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EDD51"/>
    <w:rsid w:val="555ED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2022-12-02T00:02:00Z</dcterms:created>
  <dc:creator>fjj</dc:creator>
  <cp:lastModifiedBy>fjj</cp:lastModifiedBy>
  <dcterms:modified xsi:type="dcterms:W3CDTF">2022-12-02T00:03:08Z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