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60" w:lineRule="exac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附件3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1350"/>
        </w:tabs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年泰州市科技支撑计划（社会发展）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非企项目主管部门立项汇总表</w:t>
      </w:r>
      <w:bookmarkEnd w:id="0"/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167"/>
        <w:tblOverlap w:val="never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7"/>
        <w:gridCol w:w="1480"/>
        <w:gridCol w:w="1518"/>
      </w:tblGrid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立项数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下达经费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泰州市人民医院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100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泰州市中医院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高新区(高港区)工科局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姜堰区科技局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泰州职业技术学院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南京中医药大学翰林学院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泰州学院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泰州市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生态环境局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454" w:hRule="atLeast"/>
          <w:jc w:val="center"/>
        </w:trPr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2"/>
                <w:szCs w:val="32"/>
              </w:rPr>
              <w:t>合计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F4A59"/>
    <w:rsid w:val="533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2022-12-02T00:03:00Z</dcterms:created>
  <dc:creator>fjj</dc:creator>
  <cp:lastModifiedBy>fjj</cp:lastModifiedBy>
  <dcterms:modified xsi:type="dcterms:W3CDTF">2022-12-02T00:03:45Z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