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</w:rPr>
        <w:t>202</w:t>
      </w:r>
      <w:r>
        <w:rPr>
          <w:rFonts w:hint="eastAsia" w:ascii="方正小标宋_GBK" w:eastAsia="方正小标宋_GBK"/>
          <w:spacing w:val="20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pacing w:val="20"/>
          <w:sz w:val="44"/>
          <w:szCs w:val="44"/>
        </w:rPr>
        <w:t>年度泰州市科技支撑计划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napToGrid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sz w:val="44"/>
          <w:szCs w:val="44"/>
        </w:rPr>
        <w:t>（产业关键技术研发）项目指南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指南代码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  <w:szCs w:val="28"/>
              </w:rPr>
              <w:t>技术领域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生物医药和新型医疗器械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重大疾病防治新药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治疗重大疾病的现代中药、中药成分规模化高效分离与制备、中药标准化控制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防治重大疾病的治疗性抗体、大规模、高表达抗体生产、抗体偶联药物等新型抗体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重组蛋白质药物、RNA 干扰药物、核酸药物和细胞治疗产品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防控重大传染性疾病的新型疫苗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高端植介入器械工程产品及制造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面向生物治理的关键材料、菌剂产品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1008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仿制药一致性评价研究（注:项目完成时需取得国家食品药品监督管理总局注册批件）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1009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高质量原料药、高端制剂及其药用辅料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1010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用于新药研发和临床研究的关键生物试剂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1011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临床需求大、进口依存度高的高端医疗设备配套试剂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1012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重大疾病的早期、快速、灵敏、低成本诊断试剂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1013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天然产物有效成份的分离提取及加工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1014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面向组织和器官再造、神经修复等临床治疗需要的高技术医用生物材料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1015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可替代进口的高端数字化诊疗设备和人工器官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1016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适于基层医疗单位使用的多功能、小型化、智能化数字诊疗仪器设备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注：要求化学药1—3类、中药1—6类、生物制品1—14类、医疗器械2—3类，项目完成时需取得相关临床研究批件或医疗器械注册证书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高端装备制造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高技术船舶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工程机械大型结构件制造技术及电、液系统智能化精确控制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面向高精高速制造装备、关键零部件与工艺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精密数控、智能加工、激光精细加工等成套装备及系统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智能感知、精密在线检测、智能仪表等智能测控装置与系统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高速精密轴承、高参数齿轮传动装置、高端液压件、密封件等高性能机械基础件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高技术船舶整体设计及其核心部件或控制系统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航空、海工平台及装备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2008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高端旅游装备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2009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先进工业机器人、特种机器人、智能服务机器人等精密减速机、伺服系统和控制系统以及核心零部件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2010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智能无人机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2011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轿车、电动汽车自动变速器零部件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2012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汽车零部件精密成形、装备及绿色制造、精密加工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2013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智能网联汽车环境感知及控制系统、线控底盘及车载终端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2014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新型高效、节能三相异步电动机、永磁电动机和隔爆电动机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2015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面向新兴应用领域的高精度、低成本、多材料三维打印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eastAsia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30"/>
                <w:szCs w:val="30"/>
                <w:lang w:val="en-US" w:eastAsia="zh-CN"/>
              </w:rPr>
              <w:t>2016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超精密加工及铸造、微纳跨尺度制造、多工艺复合加工、高精度光学器件加工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eastAsia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30"/>
                <w:szCs w:val="30"/>
                <w:lang w:val="en-US" w:eastAsia="zh-CN"/>
              </w:rPr>
              <w:t>2017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高端数控机床、大吨位智能化工程机械、高精度智能装配装备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宋体" w:eastAsia="方正仿宋_GBK" w:cs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三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化工及新材料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3001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高端光电子材料、柔性电子材料、半导体激光器材料、新型显示材料、高性能传感器材料等新型电子材料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3002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高性能纤维及复合材料、高温合金与特种合金、高强度特种钢、陶瓷基复合材料、高强高韧铝合金等新型结构材料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3003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高性能功能陶瓷、工程塑料、特种高分子材料、高性能膜材料等复合材料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3004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环境友好型、资源节约型、可降解高分子材料、生物质高分子材料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3005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纳米材料、石墨烯材料、增材制造材料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、稀土材料、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高端生物医用可降解材料等新型功能材料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3006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优特钢合金熔炼技术及新型合金炉辊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3007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绿色包装材料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bCs/>
                <w:sz w:val="30"/>
                <w:szCs w:val="30"/>
              </w:rPr>
              <w:t>四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节能减排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4001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三废高效洁净处理及资源化利用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4002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高效洁净燃烧、新型余废热高效利用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4003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生活垃圾焚烧飞灰治理新技术、浓缩渗滤液、污染底泥治理修复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4004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脱硫、脱硝、除尘、除汞副产物的回收利用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4005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绿色循环制造和清洁生产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4006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重大工业节能关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键核心装</w:t>
            </w:r>
            <w:r>
              <w:rPr>
                <w:rFonts w:hint="eastAsia" w:ascii="仿宋_GB2312" w:eastAsia="仿宋_GB2312"/>
                <w:sz w:val="28"/>
                <w:szCs w:val="28"/>
              </w:rPr>
              <w:t>备，超超临界发电机组及配套设备，大型发电、钢铁、建材等余热利用成套装置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  <w:lang w:val="en-US" w:eastAsia="zh-CN"/>
              </w:rPr>
              <w:t>五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新能源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5001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石墨烯基电池、碳纤维电池、铅碳电池、液流电池、超级电容器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5002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宽禁带半导体等新型大功率电力电子器件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5003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高效太阳能电池、燃料电池等新型电池制造及热电转换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5004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氢能技术装备抗氢结构材料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5005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核电用大型铸锻件、特种管材、核级泵阀、核级电缆制造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5006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大容量可再生能源（如光伏、风电等）储能系统及并网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5007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先进风电机组、生物质发电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5008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新能源汽车整车集成及轻量化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5009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新能源汽车动力、驱动、控制系统总成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5010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新能源汽车动力电池充电和管理系统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5011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面向混合动力、纯电驱动的高性能电机传动部件及其控制系统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  <w:lang w:val="en-US" w:eastAsia="zh-CN"/>
              </w:rPr>
              <w:t>六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电子信息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  <w:t>6001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集成电路先进设计制造、封装测试与制造装备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  <w:t>6002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高性能、低成本、智能化传感器及芯片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  <w:t>6003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物联网与移动互联网、大数据融合交互技术、物联网接入与组网安全技术、嵌入式系统与应用集成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  <w:t>6004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微型化、高频化、高精度、集成化微处理器、传感元件、转换器、连接元件等新型电子元器件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  <w:t>6005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有源电子标签芯片、智能传感器、智能物联网交互终端、智能硬件等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网络通信、移动通信技术、设备、终端、关键核心部件、高性能关键元器件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拥有核心自主知识产权大型数据库、关键中间件和软件平台开发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6008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云计算基础软件、系统管理平台、新一代虚拟化等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6009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基于人工智能的新型人机交互、智能决策、控制等装备技术、人工智能高阶自动驾驶系统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6010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海量数据、数据存储、数据清洗、分析发掘、批流混合大数据处理等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6011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高性能低功耗设计、多频段多模式射频电路设计及功率设计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6012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高精度场景重建、环境实时感知等数字虚拟现实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6013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区块链核心算法、高效协议、智能合约等关键产品及其区块链底层平台、区块链与云计算、物联网、人工智能等技术的融合应用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6014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面向智能制造的企业数字化综合集成技术及平台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6015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sz w:val="28"/>
                <w:szCs w:val="28"/>
              </w:rPr>
              <w:t>网络安全监测预警、物联网、工业互联网安全防护保密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及密码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sz w:val="30"/>
                <w:szCs w:val="30"/>
                <w:lang w:val="en-US" w:eastAsia="zh-CN"/>
              </w:rPr>
              <w:t>6016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自主可控操作系统和办公软件、CAD/CAM/CAE 工业软件、电子设计自动化（EDA）软件、嵌入式工控系统、北斗定位导航授时等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  <w:lang w:val="en-US" w:eastAsia="zh-CN"/>
              </w:rPr>
              <w:t>七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文化创意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7001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面向先进文化内容服务的融合网络及数字媒体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7002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现代数字化展示技术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7003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三网融合环境下互动电视服务技术集成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7004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数字出版内容资源聚合与投送云服务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sz w:val="30"/>
                <w:szCs w:val="30"/>
                <w:lang w:val="en-US" w:eastAsia="zh-CN"/>
              </w:rPr>
              <w:t>八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安全生产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8001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新一代高灵敏智能化环境监控与预警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8002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灾害事故监测预警、危险气体泄漏检测及精准定位、生命探测等灾害预警侦测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8003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危化品贮槽应急堵漏、危险气体泄漏安全环保处置、险恶环境灭火救援等灾害应急处置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8004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便携式自组网通信终端、远距离透地通信及人员精准定位、井下水下远距离救援通信等应急救援通信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>8005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sz w:val="28"/>
                <w:szCs w:val="28"/>
              </w:rPr>
              <w:t>危险环境作业、安全巡检、应急救援消防等机器人</w:t>
            </w:r>
            <w:r>
              <w:rPr>
                <w:rStyle w:val="8"/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Style w:val="8"/>
                <w:rFonts w:hint="default" w:ascii="仿宋_GB2312" w:eastAsia="仿宋_GB2312"/>
                <w:sz w:val="28"/>
                <w:szCs w:val="28"/>
              </w:rPr>
              <w:t>高机动救援成套化装备等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600" w:lineRule="exact"/>
        <w:jc w:val="both"/>
        <w:textAlignment w:val="auto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31" w:gutter="0"/>
          <w:pgNumType w:fmt="numberInDash" w:start="2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page" w:horzAnchor="margin" w:tblpY="342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42"/>
        <w:gridCol w:w="1433"/>
        <w:gridCol w:w="1335"/>
        <w:gridCol w:w="1305"/>
        <w:gridCol w:w="1605"/>
        <w:gridCol w:w="1860"/>
        <w:gridCol w:w="1755"/>
        <w:gridCol w:w="14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项目类型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指南代码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学科代码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项目总投资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202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年度泰州市科技支撑计划（产业关键技术研发）项目审核汇总表</w:t>
      </w:r>
    </w:p>
    <w:p>
      <w:pPr>
        <w:rPr>
          <w:rFonts w:hint="default" w:ascii="仿宋_GB2312" w:hAnsi="宋体" w:eastAsia="仿宋_GB2312" w:cs="宋体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地区：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none"/>
          <w:lang w:val="en-US" w:eastAsia="zh-CN"/>
        </w:rPr>
        <w:t xml:space="preserve">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主管部门（盖章）：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  <w:lang w:val="en-US" w:eastAsia="zh-CN"/>
        </w:rPr>
        <w:t xml:space="preserve">                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联系人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：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           联系方式：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备注：1.项目类型填写重大项目或创新项目；</w:t>
      </w:r>
    </w:p>
    <w:p>
      <w:pPr>
        <w:numPr>
          <w:ilvl w:val="0"/>
          <w:numId w:val="0"/>
        </w:numPr>
        <w:ind w:left="720" w:leftChars="0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2.企业类型填写高新技术企业、高企培育库在库企业、科技型中小企业；</w:t>
      </w:r>
    </w:p>
    <w:p>
      <w:pPr>
        <w:numPr>
          <w:ilvl w:val="0"/>
          <w:numId w:val="0"/>
        </w:numPr>
        <w:ind w:left="720" w:leftChars="0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3.高新区推荐项目请在备注栏标注；</w:t>
      </w:r>
    </w:p>
    <w:p>
      <w:pPr>
        <w:numPr>
          <w:ilvl w:val="0"/>
          <w:numId w:val="0"/>
        </w:numPr>
        <w:ind w:left="720" w:leftChars="0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sectPr>
          <w:pgSz w:w="16838" w:h="11906" w:orient="landscape"/>
          <w:pgMar w:top="1701" w:right="1701" w:bottom="1701" w:left="1701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4.学科代码按照中华人民共和国学科分类与代码简表(国家标准GBT_13745-2009)填写。</w:t>
      </w: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B2C88"/>
    <w:rsid w:val="36B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style01"/>
    <w:basedOn w:val="5"/>
    <w:qFormat/>
    <w:uiPriority w:val="0"/>
    <w:rPr>
      <w:rFonts w:hint="eastAsia" w:ascii="方正仿宋_GBK"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2022-04-06T07:32:00Z</dcterms:created>
  <dc:creator>Administrator</dc:creator>
  <cp:lastModifiedBy>Administrator</cp:lastModifiedBy>
  <dcterms:modified xsi:type="dcterms:W3CDTF">2022-04-06T07:33:34Z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15F1709390A843A2BAB9831D0D4EE9D2</vt:lpwstr>
  </property>
</Properties>
</file>